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contextualSpacing w:val="1"/>
        <w:rPr>
          <w:rFonts w:hint="default" w:asciiTheme="minorEastAsia" w:hAnsiTheme="minorEastAsia"/>
          <w:color w:val="000000" w:themeColor="text1"/>
          <w:kern w:val="24"/>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-332740</wp:posOffset>
                </wp:positionH>
                <wp:positionV relativeFrom="page">
                  <wp:posOffset>483870</wp:posOffset>
                </wp:positionV>
                <wp:extent cx="895350" cy="371475"/>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895350" cy="371475"/>
                        </a:xfrm>
                        <a:prstGeom prst="rect">
                          <a:avLst/>
                        </a:prstGeom>
                        <a:solidFill>
                          <a:sysClr val="window" lastClr="FFFFFF"/>
                        </a:solidFill>
                        <a:ln w="6350">
                          <a:solidFill>
                            <a:prstClr val="black"/>
                          </a:solidFill>
                        </a:ln>
                      </wps:spPr>
                      <wps:txbx>
                        <w:txbxContent>
                          <w:p>
                            <w:pPr>
                              <w:pStyle w:val="0"/>
                              <w:jc w:val="center"/>
                              <w:rPr>
                                <w:rFonts w:hint="default"/>
                              </w:rPr>
                            </w:pPr>
                            <w:r>
                              <w:rPr>
                                <w:rFonts w:hint="eastAsia"/>
                              </w:rPr>
                              <w:t>別添１</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z-index:2;height:29.25pt;mso-wrap-distance-left:9pt;width:70.5pt;mso-wrap-distance-top:0pt;mso-position-horizontal-relative:text;position:absolute;margin-top:38.1pt;margin-left:-26.2pt;mso-position-vertical-relative:page;mso-wrap-distance-bottom:0pt;mso-wrap-distance-right:9pt;v-text-anchor:middle;" o:spid="_x0000_s1026" o:allowincell="t" o:allowoverlap="t" filled="t" fillcolor="#ffffff" stroked="t" strokecolor="#000000" strokeweight="0.5pt" o:spt="202" type="#_x0000_t202">
                <v:fill/>
                <v:stroke filltype="solid"/>
                <v:textbox style="layout-flow:horizontal;">
                  <w:txbxContent>
                    <w:p>
                      <w:pPr>
                        <w:pStyle w:val="0"/>
                        <w:jc w:val="center"/>
                        <w:rPr>
                          <w:rFonts w:hint="default"/>
                        </w:rPr>
                      </w:pPr>
                      <w:r>
                        <w:rPr>
                          <w:rFonts w:hint="eastAsia"/>
                        </w:rPr>
                        <w:t>別添１</w:t>
                      </w:r>
                    </w:p>
                  </w:txbxContent>
                </v:textbox>
                <v:imagedata o:title=""/>
                <w10:wrap type="none" anchorx="text" anchory="page"/>
              </v:shape>
            </w:pict>
          </mc:Fallback>
        </mc:AlternateContent>
      </w:r>
    </w:p>
    <w:p>
      <w:pPr>
        <w:pStyle w:val="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北栄町長　手嶋　俊樹　殿</w:t>
      </w:r>
    </w:p>
    <w:p>
      <w:pPr>
        <w:pStyle w:val="0"/>
        <w:ind w:left="288"/>
        <w:contextualSpacing w:val="1"/>
        <w:jc w:val="right"/>
        <w:rPr>
          <w:rFonts w:hint="default" w:asciiTheme="minorEastAsia" w:hAnsiTheme="minorEastAsia"/>
          <w:color w:val="000000" w:themeColor="text1"/>
          <w:kern w:val="24"/>
        </w:rPr>
      </w:pPr>
      <w:r>
        <w:rPr>
          <w:rFonts w:hint="eastAsia" w:asciiTheme="minorEastAsia" w:hAnsiTheme="minorEastAsia"/>
          <w:color w:val="000000" w:themeColor="text1"/>
          <w:kern w:val="24"/>
        </w:rPr>
        <w:t>【事業者名・代表者名】</w:t>
      </w:r>
    </w:p>
    <w:p>
      <w:pPr>
        <w:pStyle w:val="0"/>
        <w:ind w:left="288"/>
        <w:contextualSpacing w:val="1"/>
        <w:jc w:val="right"/>
        <w:rPr>
          <w:rFonts w:hint="default" w:asciiTheme="minorEastAsia" w:hAnsiTheme="minorEastAsia"/>
          <w:color w:val="000000" w:themeColor="text1"/>
          <w:kern w:val="24"/>
        </w:rPr>
      </w:pPr>
      <w:bookmarkStart w:id="0" w:name="_GoBack"/>
      <w:bookmarkEnd w:id="0"/>
    </w:p>
    <w:p>
      <w:pPr>
        <w:pStyle w:val="0"/>
        <w:ind w:firstLine="240" w:firstLineChars="100"/>
        <w:contextualSpacing w:val="1"/>
        <w:rPr>
          <w:rFonts w:hint="default" w:asciiTheme="minorEastAsia" w:hAnsiTheme="minorEastAsia"/>
          <w:color w:val="000000" w:themeColor="text1"/>
          <w:kern w:val="24"/>
        </w:rPr>
      </w:pPr>
      <w:bookmarkStart w:id="1" w:name="_Hlk200729641"/>
      <w:r>
        <w:rPr>
          <w:rFonts w:hint="eastAsia" w:asciiTheme="minorEastAsia" w:hAnsiTheme="minorEastAsia"/>
          <w:color w:val="000000" w:themeColor="text1"/>
          <w:kern w:val="24"/>
        </w:rPr>
        <w:t>●●</w:t>
      </w:r>
      <w:bookmarkEnd w:id="1"/>
      <w:r>
        <w:rPr>
          <w:rFonts w:hint="eastAsia" w:asciiTheme="minorEastAsia" w:hAnsiTheme="minorEastAsia"/>
          <w:color w:val="000000" w:themeColor="text1"/>
          <w:kern w:val="24"/>
        </w:rPr>
        <w:t>（返礼品等の名称）については、鳥取県北栄町の区域内における工程により、当該返礼品等の価値の●●％が生じていることを証明します。</w:t>
      </w:r>
    </w:p>
    <w:p>
      <w:pPr>
        <w:pStyle w:val="0"/>
        <w:ind w:firstLine="240" w:firstLineChars="1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上記については、以下の算出方法（該当する算出方法に☑）により算出しています。</w:t>
      </w:r>
    </w:p>
    <w:p>
      <w:pPr>
        <w:pStyle w:val="0"/>
        <w:spacing w:before="240" w:beforeLines="0" w:beforeAutospacing="0"/>
        <w:ind w:left="418" w:firstLine="158"/>
        <w:contextualSpacing w:val="1"/>
        <w:rPr>
          <w:rFonts w:hint="default" w:asciiTheme="minorEastAsia" w:hAnsiTheme="minorEastAsia"/>
          <w:color w:val="000000" w:themeColor="text1"/>
          <w:kern w:val="24"/>
        </w:rPr>
      </w:pPr>
    </w:p>
    <w:p>
      <w:pPr>
        <w:pStyle w:val="0"/>
        <w:ind w:left="480" w:leftChars="2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　総務大臣が定める標準的な算出方法</w:t>
      </w:r>
    </w:p>
    <w:p>
      <w:pPr>
        <w:pStyle w:val="0"/>
        <w:ind w:left="960" w:leftChars="4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※標準的な算出方法における算出基礎は以下のとおり。</w:t>
      </w:r>
    </w:p>
    <w:p>
      <w:pPr>
        <w:pStyle w:val="0"/>
        <w:ind w:left="1200" w:leftChars="5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Ａ：当該地方団体による返礼品等の調達費用　　　　　　</w:t>
      </w:r>
      <w:r>
        <w:rPr>
          <w:rFonts w:hint="eastAsia" w:asciiTheme="minorEastAsia" w:hAnsiTheme="minorEastAsia"/>
          <w:color w:val="000000" w:themeColor="text1"/>
          <w:kern w:val="24"/>
          <w:u w:val="single" w:color="auto"/>
        </w:rPr>
        <w:t>　　　　　　円</w:t>
      </w:r>
    </w:p>
    <w:p>
      <w:pPr>
        <w:pStyle w:val="0"/>
        <w:ind w:left="1680" w:leftChars="500" w:hanging="480" w:hangingChars="2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Ｂ：当該返礼品等の製造・販売等のために当該地方団体の区域外で生じた費用　　　　　　　　　　　　　　　　　　　　　　</w:t>
      </w:r>
      <w:r>
        <w:rPr>
          <w:rFonts w:hint="eastAsia" w:asciiTheme="minorEastAsia" w:hAnsiTheme="minorEastAsia"/>
          <w:color w:val="000000" w:themeColor="text1"/>
          <w:kern w:val="24"/>
          <w:u w:val="single" w:color="auto"/>
        </w:rPr>
        <w:t>　　　　　　円</w:t>
      </w:r>
    </w:p>
    <w:p>
      <w:pPr>
        <w:pStyle w:val="0"/>
        <w:ind w:firstLine="576"/>
        <w:contextualSpacing w:val="1"/>
        <w:rPr>
          <w:rFonts w:hint="default" w:asciiTheme="minorEastAsia" w:hAnsiTheme="minorEastAsia"/>
          <w:color w:val="000000" w:themeColor="text1"/>
          <w:kern w:val="24"/>
        </w:rPr>
      </w:pPr>
    </w:p>
    <w:p>
      <w:pPr>
        <w:pStyle w:val="0"/>
        <w:ind w:left="480" w:leftChars="2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　その他の算出方法</w:t>
      </w:r>
    </w:p>
    <w:p>
      <w:pPr>
        <w:pStyle w:val="0"/>
        <w:ind w:left="960" w:leftChars="4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※その他の算出方法とする理由及びその算出方法の詳細は以下のとおり。</w:t>
      </w:r>
    </w:p>
    <w:tbl>
      <w:tblPr>
        <w:tblStyle w:val="36"/>
        <w:tblW w:w="7978" w:type="dxa"/>
        <w:tblInd w:w="1200" w:type="dxa"/>
        <w:tblLayout w:type="fixed"/>
        <w:tblLook w:firstRow="1" w:lastRow="0" w:firstColumn="1" w:lastColumn="0" w:noHBand="0" w:noVBand="1" w:val="04A0"/>
      </w:tblPr>
      <w:tblGrid>
        <w:gridCol w:w="7978"/>
      </w:tblGrid>
      <w:tr>
        <w:trPr/>
        <w:tc>
          <w:tcPr>
            <w:tcW w:w="9178" w:type="dxa"/>
            <w:vAlign w:val="top"/>
          </w:tcPr>
          <w:p>
            <w:pPr>
              <w:pStyle w:val="0"/>
              <w:spacing w:before="240" w:beforeLines="0" w:beforeAutospacing="0"/>
              <w:contextualSpacing w:val="1"/>
              <w:rPr>
                <w:rFonts w:hint="default" w:asciiTheme="minorEastAsia" w:hAnsiTheme="minorEastAsia"/>
                <w:color w:val="000000" w:themeColor="text1"/>
                <w:kern w:val="24"/>
              </w:rPr>
            </w:pPr>
          </w:p>
          <w:p>
            <w:pPr>
              <w:pStyle w:val="0"/>
              <w:spacing w:before="240" w:beforeLines="0" w:beforeAutospacing="0"/>
              <w:contextualSpacing w:val="1"/>
              <w:rPr>
                <w:rFonts w:hint="default" w:asciiTheme="minorEastAsia" w:hAnsiTheme="minorEastAsia"/>
                <w:color w:val="000000" w:themeColor="text1"/>
                <w:kern w:val="24"/>
              </w:rPr>
            </w:pPr>
          </w:p>
          <w:p>
            <w:pPr>
              <w:pStyle w:val="0"/>
              <w:spacing w:before="240" w:beforeLines="0" w:beforeAutospacing="0"/>
              <w:contextualSpacing w:val="1"/>
              <w:rPr>
                <w:rFonts w:hint="default" w:asciiTheme="minorEastAsia" w:hAnsiTheme="minorEastAsia"/>
                <w:color w:val="000000" w:themeColor="text1"/>
                <w:kern w:val="24"/>
              </w:rPr>
            </w:pPr>
          </w:p>
          <w:p>
            <w:pPr>
              <w:pStyle w:val="0"/>
              <w:spacing w:before="240" w:beforeLines="0" w:beforeAutospacing="0"/>
              <w:contextualSpacing w:val="1"/>
              <w:rPr>
                <w:rFonts w:hint="default" w:asciiTheme="minorEastAsia" w:hAnsiTheme="minorEastAsia"/>
                <w:color w:val="000000" w:themeColor="text1"/>
                <w:kern w:val="24"/>
              </w:rPr>
            </w:pPr>
          </w:p>
        </w:tc>
      </w:tr>
    </w:tbl>
    <w:p>
      <w:pPr>
        <w:pStyle w:val="0"/>
        <w:contextualSpacing w:val="1"/>
        <w:rPr>
          <w:rFonts w:hint="default" w:asciiTheme="minorEastAsia" w:hAnsiTheme="minorEastAsia"/>
          <w:color w:val="000000" w:themeColor="text1"/>
          <w:kern w:val="24"/>
        </w:rPr>
      </w:pPr>
    </w:p>
    <w:p>
      <w:pPr>
        <w:pStyle w:val="0"/>
        <w:spacing w:before="240" w:beforeLines="0" w:beforeAutospacing="0"/>
        <w:ind w:firstLine="240" w:firstLineChars="1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また、当該返礼品等の製造・加工地</w:t>
      </w:r>
      <w:r>
        <w:rPr>
          <w:rFonts w:hint="eastAsia" w:asciiTheme="minorEastAsia" w:hAnsiTheme="minorEastAsia"/>
          <w:color w:val="000000" w:themeColor="text1"/>
          <w:kern w:val="24"/>
          <w:position w:val="10"/>
          <w:vertAlign w:val="superscript"/>
        </w:rPr>
        <w:t>※１</w:t>
      </w:r>
      <w:r>
        <w:rPr>
          <w:rFonts w:hint="eastAsia" w:asciiTheme="minorEastAsia" w:hAnsiTheme="minorEastAsia"/>
          <w:color w:val="000000" w:themeColor="text1"/>
          <w:kern w:val="24"/>
        </w:rPr>
        <w:t>は●●（地方団体名又は国名）であり、一般販売価格は●●円です</w:t>
      </w:r>
      <w:r>
        <w:rPr>
          <w:rFonts w:hint="eastAsia" w:asciiTheme="minorEastAsia" w:hAnsiTheme="minorEastAsia"/>
          <w:color w:val="000000" w:themeColor="text1"/>
          <w:kern w:val="24"/>
          <w:position w:val="10"/>
          <w:vertAlign w:val="superscript"/>
        </w:rPr>
        <w:t>※２</w:t>
      </w:r>
      <w:r>
        <w:rPr>
          <w:rFonts w:hint="eastAsia" w:asciiTheme="minorEastAsia" w:hAnsiTheme="minorEastAsia"/>
          <w:color w:val="000000" w:themeColor="text1"/>
          <w:kern w:val="24"/>
        </w:rPr>
        <w:t>。</w:t>
      </w:r>
    </w:p>
    <w:p>
      <w:pPr>
        <w:pStyle w:val="0"/>
        <w:spacing w:before="240" w:beforeLines="0" w:beforeAutospacing="0"/>
        <w:contextualSpacing w:val="1"/>
        <w:rPr>
          <w:rFonts w:hint="default" w:asciiTheme="minorEastAsia" w:hAnsiTheme="minorEastAsia"/>
          <w:color w:val="000000" w:themeColor="text1"/>
          <w:kern w:val="24"/>
        </w:rPr>
      </w:pPr>
    </w:p>
    <w:p>
      <w:pPr>
        <w:pStyle w:val="0"/>
        <w:spacing w:before="240" w:beforeLines="0" w:beforeAutospacing="0"/>
        <w:ind w:firstLine="240" w:firstLineChars="1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なお、当該返礼品等を取り扱うに当たって、下記の事項に同意します。</w:t>
      </w:r>
    </w:p>
    <w:p>
      <w:pPr>
        <w:pStyle w:val="0"/>
        <w:spacing w:before="240" w:beforeLines="0" w:beforeAutospacing="0"/>
        <w:ind w:left="480" w:leftChars="100" w:hanging="240" w:hangingChars="100"/>
        <w:contextualSpacing w:val="1"/>
        <w:jc w:val="left"/>
        <w:rPr>
          <w:rFonts w:hint="default" w:asciiTheme="minorEastAsia" w:hAnsiTheme="minorEastAsia"/>
          <w:color w:val="000000" w:themeColor="text1"/>
          <w:kern w:val="24"/>
        </w:rPr>
      </w:pPr>
      <w:r>
        <w:rPr>
          <w:rFonts w:hint="eastAsia" w:asciiTheme="minorEastAsia" w:hAnsiTheme="minorEastAsia"/>
          <w:color w:val="000000" w:themeColor="text1"/>
          <w:kern w:val="24"/>
        </w:rPr>
        <w:t>・　当該返礼品等については、以下に掲げる場合を除き、他の地方団体の地場産品基準（平成</w:t>
      </w:r>
      <w:r>
        <w:rPr>
          <w:rFonts w:hint="eastAsia" w:asciiTheme="minorEastAsia" w:hAnsiTheme="minorEastAsia"/>
          <w:color w:val="000000" w:themeColor="text1"/>
          <w:kern w:val="24"/>
        </w:rPr>
        <w:t>31</w:t>
      </w:r>
      <w:r>
        <w:rPr>
          <w:rFonts w:hint="eastAsia" w:asciiTheme="minorEastAsia" w:hAnsiTheme="minorEastAsia"/>
          <w:color w:val="000000" w:themeColor="text1"/>
          <w:kern w:val="24"/>
        </w:rPr>
        <w:t>年総務省告示第</w:t>
      </w:r>
      <w:r>
        <w:rPr>
          <w:rFonts w:hint="eastAsia" w:asciiTheme="minorEastAsia" w:hAnsiTheme="minorEastAsia"/>
          <w:color w:val="000000" w:themeColor="text1"/>
          <w:kern w:val="24"/>
        </w:rPr>
        <w:t>179</w:t>
      </w:r>
      <w:r>
        <w:rPr>
          <w:rFonts w:hint="eastAsia" w:asciiTheme="minorEastAsia" w:hAnsiTheme="minorEastAsia"/>
          <w:color w:val="000000" w:themeColor="text1"/>
          <w:kern w:val="24"/>
        </w:rPr>
        <w:t>号第６条をいう。以下同じ。）第３号の返礼品等として取り扱わないこと。</w:t>
      </w:r>
    </w:p>
    <w:p>
      <w:pPr>
        <w:pStyle w:val="16"/>
        <w:numPr>
          <w:ilvl w:val="0"/>
          <w:numId w:val="1"/>
        </w:numPr>
        <w:spacing w:before="240" w:beforeLines="0" w:beforeAutospacing="0"/>
        <w:ind w:leftChars="0"/>
        <w:contextualSpacing w:val="1"/>
        <w:jc w:val="left"/>
        <w:rPr>
          <w:rFonts w:hint="default" w:asciiTheme="minorEastAsia" w:hAnsiTheme="minorEastAsia"/>
          <w:color w:val="000000" w:themeColor="text1"/>
          <w:kern w:val="24"/>
        </w:rPr>
      </w:pPr>
      <w:r>
        <w:rPr>
          <w:rFonts w:hint="eastAsia" w:asciiTheme="minorEastAsia" w:hAnsiTheme="minorEastAsia"/>
          <w:color w:val="000000" w:themeColor="text1"/>
          <w:kern w:val="24"/>
        </w:rPr>
        <w:t>　貴市区町村の属する都道府県（貴団体が都道府県である場合には貴都道府県内の市区町村）が地場産品基準第３号に適合するものとして当該返礼品等を取り扱う場合</w:t>
      </w:r>
    </w:p>
    <w:p>
      <w:pPr>
        <w:pStyle w:val="16"/>
        <w:numPr>
          <w:ilvl w:val="0"/>
          <w:numId w:val="1"/>
        </w:numPr>
        <w:ind w:leftChars="0"/>
        <w:rPr>
          <w:rFonts w:hint="default"/>
        </w:rPr>
      </w:pPr>
      <w:r>
        <w:rPr>
          <w:rFonts w:hint="eastAsia"/>
        </w:rPr>
        <w:t>　地場産品基準第８号イ又はロの返礼品等（同基準第３号に適合する場合に限る。）として他の地方団体が取り扱う場合</w:t>
      </w:r>
    </w:p>
    <w:p>
      <w:pPr>
        <w:pStyle w:val="0"/>
        <w:spacing w:before="240" w:beforeLines="0" w:beforeAutospacing="0"/>
        <w:ind w:left="480" w:leftChars="100" w:hanging="240" w:hangingChars="1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　当該返礼品等の付加価値の算出方法等について、地方団体の求めに応じ、必要な説明や資料提供等を行うこと。</w:t>
      </w:r>
    </w:p>
    <w:p>
      <w:pPr>
        <w:pStyle w:val="0"/>
        <w:spacing w:before="240" w:beforeLines="0" w:beforeAutospacing="0"/>
        <w:ind w:left="418" w:firstLine="158"/>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mc:AlternateContent>
          <mc:Choice Requires="wps">
            <w:drawing>
              <wp:anchor distT="0" distB="0" distL="114300" distR="114300" simplePos="0" relativeHeight="3" behindDoc="0" locked="0" layoutInCell="1" hidden="0" allowOverlap="1">
                <wp:simplePos x="0" y="0"/>
                <wp:positionH relativeFrom="column">
                  <wp:posOffset>40640</wp:posOffset>
                </wp:positionH>
                <wp:positionV relativeFrom="paragraph">
                  <wp:posOffset>135255</wp:posOffset>
                </wp:positionV>
                <wp:extent cx="6028055" cy="1381125"/>
                <wp:effectExtent l="635" t="635" r="29845" b="10795"/>
                <wp:wrapNone/>
                <wp:docPr id="1027" name="大かっこ 1"/>
                <a:graphic xmlns:a="http://schemas.openxmlformats.org/drawingml/2006/main">
                  <a:graphicData uri="http://schemas.microsoft.com/office/word/2010/wordprocessingShape">
                    <wps:wsp>
                      <wps:cNvPr id="1027" name="大かっこ 1"/>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z-index:3;height:108.75pt;mso-wrap-distance-left:9pt;width:474.65pt;mso-wrap-distance-top:0pt;mso-position-horizontal-relative:text;position:absolute;margin-top:10.65pt;margin-left:3.2pt;mso-position-vertical-relative:text;mso-wrap-distance-bottom:0pt;mso-wrap-distance-right:9pt;" o:spid="_x0000_s1027" o:allowincell="t" o:allowoverlap="t" filled="f" stroked="t" strokecolor="#000000 [3213]" strokeweight="0.5pt" o:spt="185" type="#_x0000_t185" adj="1676">
                <v:fill/>
                <v:stroke linestyle="single" miterlimit="8" endcap="flat" dashstyle="solid" filltype="solid"/>
                <v:textbox style="layout-flow:horizontal;"/>
                <v:imagedata o:title=""/>
                <w10:wrap type="none" anchorx="text" anchory="text"/>
              </v:shape>
            </w:pict>
          </mc:Fallback>
        </mc:AlternateContent>
      </w:r>
    </w:p>
    <w:p>
      <w:pPr>
        <w:pStyle w:val="0"/>
        <w:spacing w:before="120" w:beforeLines="0" w:beforeAutospacing="0"/>
        <w:ind w:left="240" w:leftChars="100"/>
        <w:contextualSpacing w:val="1"/>
        <w:rPr>
          <w:rFonts w:hint="default" w:asciiTheme="minorEastAsia" w:hAnsiTheme="minorEastAsia"/>
          <w:color w:val="000000" w:themeColor="text1"/>
          <w:kern w:val="24"/>
          <w:u w:val="single" w:color="auto"/>
        </w:rPr>
      </w:pPr>
      <w:r>
        <w:rPr>
          <w:rFonts w:hint="eastAsia" w:asciiTheme="minorEastAsia" w:hAnsiTheme="minorEastAsia"/>
          <w:color w:val="000000" w:themeColor="text1"/>
          <w:kern w:val="24"/>
          <w:u w:val="single" w:color="auto"/>
        </w:rPr>
        <w:t>記載要領</w:t>
      </w:r>
    </w:p>
    <w:p>
      <w:pPr>
        <w:pStyle w:val="0"/>
        <w:spacing w:before="120" w:beforeLines="0" w:beforeAutospacing="0"/>
        <w:ind w:left="720" w:leftChars="100" w:hanging="480" w:hangingChars="2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※１　返礼品等の製造・加工が行われた場所について、国内の場合は都道府県名及び市区町村名（例：鳥取県北栄町）、国外の場合は国名を記載すること。</w:t>
      </w:r>
    </w:p>
    <w:p>
      <w:pPr>
        <w:pStyle w:val="0"/>
        <w:ind w:left="720" w:leftChars="100" w:hanging="480" w:hangingChars="2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※２　当該返礼品等を一般消費者に対して販売する際の通常の価格を記載すること。なお、当該返礼品等が非売品である場合には、当該返礼品等の類似製品に係る通常の価格を記載すること。</w:t>
      </w:r>
    </w:p>
    <w:sectPr>
      <w:pgSz w:w="11910" w:h="16840"/>
      <w:pgMar w:top="1276" w:right="1361" w:bottom="709" w:left="1361"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9A473B4"/>
    <w:lvl w:ilvl="0" w:tplc="C8E45730">
      <w:start w:val="1"/>
      <w:numFmt w:val="decimalEnclosedCircle"/>
      <w:lvlText w:val="%1"/>
      <w:lvlJc w:val="left"/>
      <w:pPr>
        <w:ind w:left="840" w:hanging="360"/>
      </w:pPr>
      <w:rPr>
        <w:rFonts w:hint="default"/>
      </w:rPr>
    </w:lvl>
    <w:lvl w:ilvl="1" w:tplc="04090017">
      <w:start w:val="1"/>
      <w:numFmt w:val="aiueoFullWidth"/>
      <w:lvlText w:val="(%2)"/>
      <w:lvlJc w:val="left"/>
      <w:pPr>
        <w:ind w:left="1360" w:hanging="440"/>
      </w:pPr>
    </w:lvl>
    <w:lvl w:ilvl="2" w:tplc="04090011">
      <w:start w:val="1"/>
      <w:numFmt w:val="decimalEnclosedCircle"/>
      <w:lvlText w:val="%3"/>
      <w:lvlJc w:val="left"/>
      <w:pPr>
        <w:ind w:left="1800" w:hanging="440"/>
      </w:pPr>
    </w:lvl>
    <w:lvl w:ilvl="3" w:tplc="0409000F">
      <w:start w:val="1"/>
      <w:numFmt w:val="decimal"/>
      <w:lvlText w:val="%4."/>
      <w:lvlJc w:val="left"/>
      <w:pPr>
        <w:ind w:left="2240" w:hanging="440"/>
      </w:pPr>
    </w:lvl>
    <w:lvl w:ilvl="4" w:tplc="04090017">
      <w:start w:val="1"/>
      <w:numFmt w:val="aiueoFullWidth"/>
      <w:lvlText w:val="(%5)"/>
      <w:lvlJc w:val="left"/>
      <w:pPr>
        <w:ind w:left="2680" w:hanging="440"/>
      </w:pPr>
    </w:lvl>
    <w:lvl w:ilvl="5" w:tplc="04090011">
      <w:start w:val="1"/>
      <w:numFmt w:val="decimalEnclosedCircle"/>
      <w:lvlText w:val="%6"/>
      <w:lvlJc w:val="left"/>
      <w:pPr>
        <w:ind w:left="3120" w:hanging="440"/>
      </w:pPr>
    </w:lvl>
    <w:lvl w:ilvl="6" w:tplc="0409000F">
      <w:start w:val="1"/>
      <w:numFmt w:val="decimal"/>
      <w:lvlText w:val="%7."/>
      <w:lvlJc w:val="left"/>
      <w:pPr>
        <w:ind w:left="3560" w:hanging="440"/>
      </w:pPr>
    </w:lvl>
    <w:lvl w:ilvl="7" w:tplc="04090017">
      <w:start w:val="1"/>
      <w:numFmt w:val="aiueoFullWidth"/>
      <w:lvlText w:val="(%8)"/>
      <w:lvlJc w:val="left"/>
      <w:pPr>
        <w:ind w:left="4000" w:hanging="440"/>
      </w:pPr>
    </w:lvl>
    <w:lvl w:ilvl="8" w:tplc="04090011">
      <w:start w:val="1"/>
      <w:numFmt w:val="decimalEnclosedCircle"/>
      <w:lvlText w:val="%9"/>
      <w:lvlJc w:val="left"/>
      <w:pPr>
        <w:ind w:left="444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paragraph" w:styleId="16">
    <w:name w:val="List Paragraph"/>
    <w:basedOn w:val="0"/>
    <w:next w:val="16"/>
    <w:link w:val="0"/>
    <w:uiPriority w:val="0"/>
    <w:qFormat/>
    <w:pPr>
      <w:ind w:left="840" w:leftChars="400"/>
    </w:p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Revision"/>
    <w:next w:val="23"/>
    <w:link w:val="0"/>
    <w:uiPriority w:val="0"/>
    <w:rPr/>
  </w:style>
  <w:style w:type="paragraph" w:styleId="24">
    <w:name w:val="Date"/>
    <w:basedOn w:val="0"/>
    <w:next w:val="0"/>
    <w:link w:val="25"/>
    <w:uiPriority w:val="0"/>
  </w:style>
  <w:style w:type="character" w:styleId="25" w:customStyle="1">
    <w:name w:val="日付 (文字)"/>
    <w:basedOn w:val="10"/>
    <w:next w:val="25"/>
    <w:link w:val="24"/>
    <w:uiPriority w:val="0"/>
  </w:style>
  <w:style w:type="paragraph" w:styleId="26">
    <w:name w:val="Note Heading"/>
    <w:basedOn w:val="0"/>
    <w:next w:val="0"/>
    <w:link w:val="27"/>
    <w:uiPriority w:val="0"/>
    <w:pPr>
      <w:jc w:val="center"/>
    </w:pPr>
  </w:style>
  <w:style w:type="character" w:styleId="27" w:customStyle="1">
    <w:name w:val="記 (文字)"/>
    <w:basedOn w:val="10"/>
    <w:next w:val="27"/>
    <w:link w:val="26"/>
    <w:uiPriority w:val="0"/>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rPr>
  </w:style>
  <w:style w:type="paragraph" w:styleId="33">
    <w:name w:val="Closing"/>
    <w:basedOn w:val="0"/>
    <w:next w:val="33"/>
    <w:link w:val="34"/>
    <w:uiPriority w:val="0"/>
    <w:pPr>
      <w:jc w:val="right"/>
    </w:pPr>
    <w:rPr>
      <w:rFonts w:asciiTheme="minorEastAsia" w:hAnsiTheme="minorEastAsia"/>
    </w:rPr>
  </w:style>
  <w:style w:type="character" w:styleId="34" w:customStyle="1">
    <w:name w:val="結語 (文字)"/>
    <w:basedOn w:val="10"/>
    <w:next w:val="34"/>
    <w:link w:val="33"/>
    <w:uiPriority w:val="0"/>
    <w:rPr>
      <w:rFonts w:asciiTheme="minorEastAsia" w:hAnsiTheme="minorEastAsia"/>
      <w:sz w:val="24"/>
    </w:rPr>
  </w:style>
  <w:style w:type="paragraph" w:styleId="35">
    <w:name w:val="Normal (Web)"/>
    <w:basedOn w:val="0"/>
    <w:next w:val="3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TotalTime>
  <Pages>1</Pages>
  <Words>429</Words>
  <Characters>429</Characters>
  <Application>JUST Note</Application>
  <Lines>23</Lines>
  <Paragraphs>20</Paragraphs>
  <CharactersWithSpaces>838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梅津　勇斗</cp:lastModifiedBy>
  <cp:lastPrinted>2026-03-30T07:22:00Z</cp:lastPrinted>
  <dcterms:created xsi:type="dcterms:W3CDTF">2026-03-30T07:11:00Z</dcterms:created>
  <dcterms:modified xsi:type="dcterms:W3CDTF">2026-05-20T07:30:57Z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mplianceAssetId">
    <vt:lpwstr/>
  </property>
  <property fmtid="{D5CDD505-2E9C-101B-9397-08002B2CF9AE}" pid="3" name="ContentTypeId">
    <vt:lpwstr>0x01010077CB45A0F0A3264E8315180F4DD5C739</vt:lpwstr>
  </property>
  <property fmtid="{D5CDD505-2E9C-101B-9397-08002B2CF9AE}" pid="4" name="MediaServiceImageTags">
    <vt:lpwstr/>
  </property>
  <property fmtid="{D5CDD505-2E9C-101B-9397-08002B2CF9AE}" pid="5" name="Order">
    <vt:r8>72400</vt:r8>
  </property>
  <property fmtid="{D5CDD505-2E9C-101B-9397-08002B2CF9AE}" pid="6" name="TemplateUrl">
    <vt:lpwstr/>
  </property>
  <property fmtid="{D5CDD505-2E9C-101B-9397-08002B2CF9AE}" pid="7" name="TriggerFlowInfo">
    <vt:lpwstr/>
  </property>
  <property fmtid="{D5CDD505-2E9C-101B-9397-08002B2CF9AE}" pid="8" name="_ExtendedDescription">
    <vt:lpwstr/>
  </property>
  <property fmtid="{D5CDD505-2E9C-101B-9397-08002B2CF9AE}" pid="9" name="xd_ProgID">
    <vt:lpwstr/>
  </property>
  <property fmtid="{D5CDD505-2E9C-101B-9397-08002B2CF9AE}" pid="10" name="xd_Signature">
    <vt:bool>false</vt:bool>
  </property>
</Properties>
</file>